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7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Rahmenvertrag Gehölzpflegemaßnahmen im FB II.2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